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6842F" w14:textId="77777777" w:rsidR="00FE7BA4" w:rsidRPr="00FE7BA4" w:rsidRDefault="00FE7BA4" w:rsidP="00AE42E3">
      <w:pPr>
        <w:rPr>
          <w:b/>
          <w:bCs/>
          <w:sz w:val="32"/>
          <w:szCs w:val="32"/>
        </w:rPr>
      </w:pPr>
    </w:p>
    <w:p w14:paraId="3E6C780F" w14:textId="6246B063" w:rsidR="00FE7BA4" w:rsidRDefault="00AE42E3" w:rsidP="00FE7BA4">
      <w:pPr>
        <w:jc w:val="center"/>
        <w:rPr>
          <w:b/>
          <w:bCs/>
          <w:sz w:val="32"/>
          <w:szCs w:val="32"/>
        </w:rPr>
      </w:pPr>
      <w:r w:rsidRPr="00FE7BA4">
        <w:rPr>
          <w:b/>
          <w:bCs/>
          <w:sz w:val="32"/>
          <w:szCs w:val="32"/>
        </w:rPr>
        <w:t>New Zealand Beverage Council response</w:t>
      </w:r>
    </w:p>
    <w:p w14:paraId="5D62E4A2" w14:textId="70350E24" w:rsidR="00AE42E3" w:rsidRPr="00FE7BA4" w:rsidRDefault="00AE42E3" w:rsidP="00FE7BA4">
      <w:pPr>
        <w:jc w:val="center"/>
        <w:rPr>
          <w:b/>
          <w:bCs/>
          <w:sz w:val="32"/>
          <w:szCs w:val="32"/>
        </w:rPr>
      </w:pPr>
      <w:r w:rsidRPr="00FE7BA4">
        <w:rPr>
          <w:b/>
          <w:bCs/>
          <w:sz w:val="32"/>
          <w:szCs w:val="32"/>
        </w:rPr>
        <w:t>to the National Organics Standard consultation</w:t>
      </w:r>
    </w:p>
    <w:p w14:paraId="29AA3541" w14:textId="594946AD" w:rsidR="007C1BB2" w:rsidRDefault="00AE42E3" w:rsidP="00AE42E3">
      <w:pPr>
        <w:ind w:left="-1134" w:firstLine="1134"/>
      </w:pPr>
      <w:r>
        <w:t xml:space="preserve">By email to - </w:t>
      </w:r>
      <w:r w:rsidR="00EE7AE3">
        <w:t>o</w:t>
      </w:r>
      <w:r w:rsidR="00EE7AE3" w:rsidRPr="00EE7AE3">
        <w:t>rganicsconsultation@mpi.govt.nz</w:t>
      </w:r>
    </w:p>
    <w:p w14:paraId="29BFC0C7" w14:textId="77777777" w:rsidR="00AE42E3" w:rsidRPr="00F07CB3" w:rsidRDefault="00AE42E3" w:rsidP="00FE7BA4">
      <w:pPr>
        <w:rPr>
          <w:strike/>
        </w:rPr>
      </w:pPr>
    </w:p>
    <w:tbl>
      <w:tblPr>
        <w:tblStyle w:val="TableGrid"/>
        <w:tblW w:w="10915" w:type="dxa"/>
        <w:tblInd w:w="-1026" w:type="dxa"/>
        <w:tblLook w:val="04A0" w:firstRow="1" w:lastRow="0" w:firstColumn="1" w:lastColumn="0" w:noHBand="0" w:noVBand="1"/>
      </w:tblPr>
      <w:tblGrid>
        <w:gridCol w:w="2835"/>
        <w:gridCol w:w="8080"/>
      </w:tblGrid>
      <w:tr w:rsidR="00AE42E3" w14:paraId="6AB22164" w14:textId="77777777" w:rsidTr="00893D30">
        <w:trPr>
          <w:tblHeader/>
        </w:trPr>
        <w:tc>
          <w:tcPr>
            <w:tcW w:w="2835" w:type="dxa"/>
            <w:shd w:val="clear" w:color="auto" w:fill="D9D9D9" w:themeFill="background1" w:themeFillShade="D9"/>
          </w:tcPr>
          <w:p w14:paraId="3C535FEB" w14:textId="77777777" w:rsidR="00AE42E3" w:rsidRDefault="00AE42E3" w:rsidP="00893D30">
            <w:r>
              <w:t>Reference</w:t>
            </w:r>
          </w:p>
        </w:tc>
        <w:tc>
          <w:tcPr>
            <w:tcW w:w="8080" w:type="dxa"/>
            <w:shd w:val="clear" w:color="auto" w:fill="D9D9D9" w:themeFill="background1" w:themeFillShade="D9"/>
          </w:tcPr>
          <w:p w14:paraId="65939B1A" w14:textId="77777777" w:rsidR="00AE42E3" w:rsidRDefault="00AE42E3" w:rsidP="00893D30">
            <w:r>
              <w:t xml:space="preserve">Comment </w:t>
            </w:r>
          </w:p>
        </w:tc>
      </w:tr>
      <w:tr w:rsidR="00FE7BA4" w:rsidRPr="00FE7BA4" w14:paraId="1C0F1296" w14:textId="77777777" w:rsidTr="00893D30">
        <w:tc>
          <w:tcPr>
            <w:tcW w:w="2835" w:type="dxa"/>
          </w:tcPr>
          <w:p w14:paraId="4EB7D736" w14:textId="77777777" w:rsidR="00AE42E3" w:rsidRPr="00FE7BA4" w:rsidRDefault="00AE42E3" w:rsidP="00893D30">
            <w:pPr>
              <w:rPr>
                <w:color w:val="000000" w:themeColor="text1"/>
              </w:rPr>
            </w:pPr>
            <w:r w:rsidRPr="00FE7BA4">
              <w:rPr>
                <w:color w:val="000000" w:themeColor="text1"/>
              </w:rPr>
              <w:t>Section 3.2 – Links to other legislation</w:t>
            </w:r>
          </w:p>
        </w:tc>
        <w:tc>
          <w:tcPr>
            <w:tcW w:w="8080" w:type="dxa"/>
          </w:tcPr>
          <w:p w14:paraId="7DC8234E" w14:textId="77777777" w:rsidR="00AE42E3" w:rsidRPr="00FE7BA4" w:rsidRDefault="00AE42E3" w:rsidP="00893D30">
            <w:pPr>
              <w:rPr>
                <w:color w:val="000000" w:themeColor="text1"/>
              </w:rPr>
            </w:pPr>
            <w:r w:rsidRPr="00FE7BA4">
              <w:rPr>
                <w:color w:val="000000" w:themeColor="text1"/>
              </w:rPr>
              <w:t>A more extensive, but not exhaustive list of other applicable New Zealand legislation may be found in supplementary notice or guidance.</w:t>
            </w:r>
          </w:p>
          <w:p w14:paraId="01FF6EBC" w14:textId="77777777" w:rsidR="00AE42E3" w:rsidRPr="00FE7BA4" w:rsidRDefault="00AE42E3" w:rsidP="00893D30">
            <w:pPr>
              <w:rPr>
                <w:color w:val="000000" w:themeColor="text1"/>
              </w:rPr>
            </w:pPr>
          </w:p>
          <w:p w14:paraId="3F47DE77" w14:textId="77777777" w:rsidR="00AE42E3" w:rsidRPr="00FE7BA4" w:rsidRDefault="00AE42E3" w:rsidP="00893D30">
            <w:pPr>
              <w:rPr>
                <w:color w:val="000000" w:themeColor="text1"/>
              </w:rPr>
            </w:pPr>
            <w:r w:rsidRPr="00FE7BA4">
              <w:rPr>
                <w:color w:val="000000" w:themeColor="text1"/>
              </w:rPr>
              <w:t>Supplementary notices/guidance not provided with this call for submission.</w:t>
            </w:r>
          </w:p>
          <w:p w14:paraId="432E4F9A" w14:textId="77777777" w:rsidR="00AE42E3" w:rsidRPr="00FE7BA4" w:rsidRDefault="00AE42E3" w:rsidP="00893D30">
            <w:pPr>
              <w:rPr>
                <w:color w:val="000000" w:themeColor="text1"/>
              </w:rPr>
            </w:pPr>
          </w:p>
          <w:p w14:paraId="62B0A5A7" w14:textId="77777777" w:rsidR="00AE42E3" w:rsidRPr="00FE7BA4" w:rsidRDefault="00AE42E3" w:rsidP="00893D30">
            <w:pPr>
              <w:rPr>
                <w:color w:val="000000" w:themeColor="text1"/>
              </w:rPr>
            </w:pPr>
            <w:r w:rsidRPr="00FE7BA4">
              <w:rPr>
                <w:color w:val="000000" w:themeColor="text1"/>
              </w:rPr>
              <w:t xml:space="preserve">Correction to h. the correct title is ‘Australia New Zealand Food Standards </w:t>
            </w:r>
            <w:proofErr w:type="gramStart"/>
            <w:r w:rsidRPr="00FE7BA4">
              <w:rPr>
                <w:color w:val="000000" w:themeColor="text1"/>
              </w:rPr>
              <w:t>Code’</w:t>
            </w:r>
            <w:proofErr w:type="gramEnd"/>
          </w:p>
          <w:p w14:paraId="2DCFE849" w14:textId="77777777" w:rsidR="00AE42E3" w:rsidRPr="00FE7BA4" w:rsidRDefault="00AE42E3" w:rsidP="00893D30">
            <w:pPr>
              <w:rPr>
                <w:color w:val="000000" w:themeColor="text1"/>
              </w:rPr>
            </w:pPr>
          </w:p>
        </w:tc>
      </w:tr>
      <w:tr w:rsidR="00FE7BA4" w:rsidRPr="00FE7BA4" w14:paraId="7340D3B1" w14:textId="77777777" w:rsidTr="00893D30">
        <w:tc>
          <w:tcPr>
            <w:tcW w:w="2835" w:type="dxa"/>
          </w:tcPr>
          <w:p w14:paraId="0948C4B6" w14:textId="77777777" w:rsidR="00AE42E3" w:rsidRPr="00FE7BA4" w:rsidRDefault="00AE42E3" w:rsidP="00893D30">
            <w:pPr>
              <w:rPr>
                <w:color w:val="000000" w:themeColor="text1"/>
              </w:rPr>
            </w:pPr>
            <w:r w:rsidRPr="00FE7BA4">
              <w:rPr>
                <w:color w:val="000000" w:themeColor="text1"/>
              </w:rPr>
              <w:t xml:space="preserve">Section 3.5 – Prohibitions </w:t>
            </w:r>
          </w:p>
        </w:tc>
        <w:tc>
          <w:tcPr>
            <w:tcW w:w="8080" w:type="dxa"/>
          </w:tcPr>
          <w:p w14:paraId="47AF20C8" w14:textId="77777777" w:rsidR="00AE42E3" w:rsidRPr="00FE7BA4" w:rsidRDefault="00AE42E3" w:rsidP="00893D30">
            <w:pPr>
              <w:rPr>
                <w:color w:val="000000" w:themeColor="text1"/>
              </w:rPr>
            </w:pPr>
            <w:r w:rsidRPr="00FE7BA4">
              <w:rPr>
                <w:color w:val="000000" w:themeColor="text1"/>
              </w:rPr>
              <w:t>Synthetic substances</w:t>
            </w:r>
          </w:p>
          <w:p w14:paraId="24896802" w14:textId="77777777" w:rsidR="00AE42E3" w:rsidRPr="00FE7BA4" w:rsidRDefault="00AE42E3" w:rsidP="00893D30">
            <w:pPr>
              <w:pStyle w:val="ListParagraph"/>
              <w:numPr>
                <w:ilvl w:val="0"/>
                <w:numId w:val="1"/>
              </w:numPr>
              <w:rPr>
                <w:color w:val="000000" w:themeColor="text1"/>
              </w:rPr>
            </w:pPr>
            <w:r w:rsidRPr="00FE7BA4">
              <w:rPr>
                <w:color w:val="000000" w:themeColor="text1"/>
              </w:rPr>
              <w:t xml:space="preserve">Use of synthetic pesticides and fertilisers is prohibited. Note, this requirement should not preclude the presence of incidental amounts of pesticide residues in foods (within MPL) – recommend </w:t>
            </w:r>
            <w:proofErr w:type="gramStart"/>
            <w:r w:rsidRPr="00FE7BA4">
              <w:rPr>
                <w:color w:val="000000" w:themeColor="text1"/>
              </w:rPr>
              <w:t>to review</w:t>
            </w:r>
            <w:proofErr w:type="gramEnd"/>
            <w:r w:rsidRPr="00FE7BA4">
              <w:rPr>
                <w:color w:val="000000" w:themeColor="text1"/>
              </w:rPr>
              <w:t xml:space="preserve"> MPLs/default MRLs set for organics…with consideration to LOD in setting a default. The incidental presence of heavy metals is also likely, and therefore should be considered within the framework of synthetic pesticides and fertilisers.</w:t>
            </w:r>
          </w:p>
          <w:p w14:paraId="4667D5EA" w14:textId="77777777" w:rsidR="00AE42E3" w:rsidRPr="00FE7BA4" w:rsidRDefault="00AE42E3" w:rsidP="00893D30">
            <w:pPr>
              <w:pStyle w:val="ListParagraph"/>
              <w:numPr>
                <w:ilvl w:val="0"/>
                <w:numId w:val="1"/>
              </w:numPr>
              <w:rPr>
                <w:color w:val="000000" w:themeColor="text1"/>
              </w:rPr>
            </w:pPr>
            <w:r w:rsidRPr="00FE7BA4">
              <w:rPr>
                <w:color w:val="000000" w:themeColor="text1"/>
              </w:rPr>
              <w:t>Prohibition of using synthetic veterinary medicines or antibiotics – some permissions are outlined under section 5.6.2 and therefore section 3.5 along with 5.6.2 are contradictory so would suggest for consistency adding to section 3.5 ‘unless otherwise allowed in this Standard’.</w:t>
            </w:r>
          </w:p>
          <w:p w14:paraId="18864CE6" w14:textId="77777777" w:rsidR="00AE42E3" w:rsidRPr="00FE7BA4" w:rsidRDefault="00AE42E3" w:rsidP="00893D30">
            <w:pPr>
              <w:rPr>
                <w:color w:val="000000" w:themeColor="text1"/>
              </w:rPr>
            </w:pPr>
          </w:p>
        </w:tc>
      </w:tr>
      <w:tr w:rsidR="00FE7BA4" w:rsidRPr="00FE7BA4" w14:paraId="3BBF9B7B" w14:textId="77777777" w:rsidTr="00893D30">
        <w:tc>
          <w:tcPr>
            <w:tcW w:w="2835" w:type="dxa"/>
          </w:tcPr>
          <w:p w14:paraId="190619BA" w14:textId="77777777" w:rsidR="00AE42E3" w:rsidRPr="00FE7BA4" w:rsidRDefault="00AE42E3" w:rsidP="00893D30">
            <w:pPr>
              <w:rPr>
                <w:color w:val="000000" w:themeColor="text1"/>
              </w:rPr>
            </w:pPr>
            <w:r w:rsidRPr="00FE7BA4">
              <w:rPr>
                <w:color w:val="000000" w:themeColor="text1"/>
              </w:rPr>
              <w:t>Section 3.12 – packaging and labelling</w:t>
            </w:r>
          </w:p>
        </w:tc>
        <w:tc>
          <w:tcPr>
            <w:tcW w:w="8080" w:type="dxa"/>
          </w:tcPr>
          <w:p w14:paraId="1A15A1C1" w14:textId="77777777" w:rsidR="00AE42E3" w:rsidRPr="00FE7BA4" w:rsidRDefault="00AE42E3" w:rsidP="00893D30">
            <w:pPr>
              <w:rPr>
                <w:color w:val="000000" w:themeColor="text1"/>
              </w:rPr>
            </w:pPr>
            <w:r w:rsidRPr="00FE7BA4">
              <w:rPr>
                <w:color w:val="000000" w:themeColor="text1"/>
              </w:rPr>
              <w:t xml:space="preserve">“Packaging of organic products must be fit for purpose and comprised of suitable packaging that is reusable, recycled, recyclable, compostable or biodegradable where possible.” – consideration should be given to limited/viable options especially relating to ‘compostable’, ‘biodegradable’ and ‘reusable’ (e.g., with reference to CDS schemes/legislation does not accommodate/support reusable/returnable).  </w:t>
            </w:r>
          </w:p>
          <w:p w14:paraId="4AEB30E5" w14:textId="77777777" w:rsidR="00AE42E3" w:rsidRPr="00FE7BA4" w:rsidRDefault="00AE42E3" w:rsidP="00893D30">
            <w:pPr>
              <w:rPr>
                <w:color w:val="000000" w:themeColor="text1"/>
              </w:rPr>
            </w:pPr>
          </w:p>
        </w:tc>
      </w:tr>
      <w:tr w:rsidR="00FE7BA4" w:rsidRPr="00FE7BA4" w14:paraId="4BE72471" w14:textId="77777777" w:rsidTr="00893D30">
        <w:tc>
          <w:tcPr>
            <w:tcW w:w="2835" w:type="dxa"/>
          </w:tcPr>
          <w:p w14:paraId="40BC92CD" w14:textId="77777777" w:rsidR="00AE42E3" w:rsidRPr="00FE7BA4" w:rsidRDefault="00AE42E3" w:rsidP="00893D30">
            <w:pPr>
              <w:rPr>
                <w:color w:val="000000" w:themeColor="text1"/>
              </w:rPr>
            </w:pPr>
            <w:r w:rsidRPr="00FE7BA4">
              <w:rPr>
                <w:color w:val="000000" w:themeColor="text1"/>
              </w:rPr>
              <w:t>Section 3.12.1 – labelling</w:t>
            </w:r>
          </w:p>
        </w:tc>
        <w:tc>
          <w:tcPr>
            <w:tcW w:w="8080" w:type="dxa"/>
          </w:tcPr>
          <w:p w14:paraId="1D58A980" w14:textId="77777777" w:rsidR="00AE42E3" w:rsidRPr="00FE7BA4" w:rsidRDefault="00AE42E3" w:rsidP="00893D30">
            <w:pPr>
              <w:rPr>
                <w:color w:val="000000" w:themeColor="text1"/>
              </w:rPr>
            </w:pPr>
            <w:r w:rsidRPr="00FE7BA4">
              <w:rPr>
                <w:color w:val="000000" w:themeColor="text1"/>
              </w:rPr>
              <w:t xml:space="preserve">Is it the intent to state that it is a mandatory requirement to identify a registered entity (i.e., recognised agency/person) on the label? If a business wanted to reference a national logo, then combined with the mandatory reference to a registered entity, these two elements would not be possible on smaller packaging due to spacing constraints on the label (i.e., not enough space/real estate on label). Given this, and that information would be readily available on the public domain, could this requirement be more flexible in terms of optional requirements to identify minimum of one logo (either national logo or registered entity). </w:t>
            </w:r>
          </w:p>
          <w:p w14:paraId="6D6B63F8" w14:textId="77777777" w:rsidR="00AE42E3" w:rsidRPr="00FE7BA4" w:rsidRDefault="00AE42E3" w:rsidP="00893D30">
            <w:pPr>
              <w:rPr>
                <w:color w:val="000000" w:themeColor="text1"/>
              </w:rPr>
            </w:pPr>
          </w:p>
        </w:tc>
      </w:tr>
      <w:tr w:rsidR="00FE7BA4" w:rsidRPr="00FE7BA4" w14:paraId="46D90D06" w14:textId="77777777" w:rsidTr="00893D30">
        <w:tc>
          <w:tcPr>
            <w:tcW w:w="2835" w:type="dxa"/>
          </w:tcPr>
          <w:p w14:paraId="7D6DECEC" w14:textId="77777777" w:rsidR="00AE42E3" w:rsidRPr="00FE7BA4" w:rsidRDefault="00AE42E3" w:rsidP="00893D30">
            <w:pPr>
              <w:rPr>
                <w:color w:val="000000" w:themeColor="text1"/>
              </w:rPr>
            </w:pPr>
            <w:r w:rsidRPr="00FE7BA4">
              <w:rPr>
                <w:color w:val="000000" w:themeColor="text1"/>
              </w:rPr>
              <w:t>Section 3.12.1.1 – organic</w:t>
            </w:r>
          </w:p>
        </w:tc>
        <w:tc>
          <w:tcPr>
            <w:tcW w:w="8080" w:type="dxa"/>
          </w:tcPr>
          <w:p w14:paraId="7D270CD2" w14:textId="77777777" w:rsidR="00AE42E3" w:rsidRPr="00FE7BA4" w:rsidRDefault="00AE42E3" w:rsidP="00893D30">
            <w:pPr>
              <w:rPr>
                <w:color w:val="000000" w:themeColor="text1"/>
              </w:rPr>
            </w:pPr>
            <w:r w:rsidRPr="00FE7BA4">
              <w:rPr>
                <w:color w:val="000000" w:themeColor="text1"/>
              </w:rPr>
              <w:t>‘</w:t>
            </w:r>
            <w:proofErr w:type="gramStart"/>
            <w:r w:rsidRPr="00FE7BA4">
              <w:rPr>
                <w:color w:val="000000" w:themeColor="text1"/>
              </w:rPr>
              <w:t>must</w:t>
            </w:r>
            <w:proofErr w:type="gramEnd"/>
            <w:r w:rsidRPr="00FE7BA4">
              <w:rPr>
                <w:color w:val="000000" w:themeColor="text1"/>
              </w:rPr>
              <w:t xml:space="preserve"> be less than’ should include 5% and therefore suggest the following as a revision or words of similar effect ‘up to 5%’.</w:t>
            </w:r>
          </w:p>
          <w:p w14:paraId="5E23D47D" w14:textId="77777777" w:rsidR="00AE42E3" w:rsidRPr="00FE7BA4" w:rsidRDefault="00AE42E3" w:rsidP="00893D30">
            <w:pPr>
              <w:rPr>
                <w:color w:val="000000" w:themeColor="text1"/>
              </w:rPr>
            </w:pPr>
          </w:p>
          <w:p w14:paraId="1F9BB786" w14:textId="77777777" w:rsidR="00AE42E3" w:rsidRPr="00FE7BA4" w:rsidRDefault="00AE42E3" w:rsidP="00893D30">
            <w:pPr>
              <w:rPr>
                <w:color w:val="000000" w:themeColor="text1"/>
              </w:rPr>
            </w:pPr>
            <w:r w:rsidRPr="00FE7BA4">
              <w:rPr>
                <w:color w:val="000000" w:themeColor="text1"/>
              </w:rPr>
              <w:lastRenderedPageBreak/>
              <w:t>With reference to ‘non-organic agricultural products’ – query if ‘products’ should be ‘</w:t>
            </w:r>
            <w:proofErr w:type="gramStart"/>
            <w:r w:rsidRPr="00FE7BA4">
              <w:rPr>
                <w:color w:val="000000" w:themeColor="text1"/>
              </w:rPr>
              <w:t>ingredients’</w:t>
            </w:r>
            <w:proofErr w:type="gramEnd"/>
            <w:r w:rsidRPr="00FE7BA4">
              <w:rPr>
                <w:color w:val="000000" w:themeColor="text1"/>
              </w:rPr>
              <w:t>?</w:t>
            </w:r>
          </w:p>
          <w:p w14:paraId="33DC49AD" w14:textId="77777777" w:rsidR="00AE42E3" w:rsidRPr="00FE7BA4" w:rsidRDefault="00AE42E3" w:rsidP="00893D30">
            <w:pPr>
              <w:rPr>
                <w:color w:val="000000" w:themeColor="text1"/>
              </w:rPr>
            </w:pPr>
          </w:p>
          <w:p w14:paraId="25033BF4" w14:textId="77777777" w:rsidR="00AE42E3" w:rsidRPr="00FE7BA4" w:rsidRDefault="00AE42E3" w:rsidP="00893D30">
            <w:pPr>
              <w:rPr>
                <w:color w:val="000000" w:themeColor="text1"/>
              </w:rPr>
            </w:pPr>
            <w:r w:rsidRPr="00FE7BA4">
              <w:rPr>
                <w:color w:val="000000" w:themeColor="text1"/>
              </w:rPr>
              <w:t>As per section 3.12.1.2 – for clarity should organic ingredients be clearly identified as such in the ingredient list…given up to 5% could be non-organic?</w:t>
            </w:r>
          </w:p>
          <w:p w14:paraId="081FCBC6" w14:textId="77777777" w:rsidR="00AE42E3" w:rsidRPr="00FE7BA4" w:rsidRDefault="00AE42E3" w:rsidP="00893D30">
            <w:pPr>
              <w:rPr>
                <w:color w:val="000000" w:themeColor="text1"/>
              </w:rPr>
            </w:pPr>
          </w:p>
        </w:tc>
      </w:tr>
      <w:tr w:rsidR="00FE7BA4" w:rsidRPr="00FE7BA4" w14:paraId="20F55C92" w14:textId="77777777" w:rsidTr="00893D30">
        <w:tc>
          <w:tcPr>
            <w:tcW w:w="2835" w:type="dxa"/>
          </w:tcPr>
          <w:p w14:paraId="0FD56B76" w14:textId="77777777" w:rsidR="00AE42E3" w:rsidRPr="00FE7BA4" w:rsidRDefault="00AE42E3" w:rsidP="00893D30">
            <w:pPr>
              <w:rPr>
                <w:color w:val="000000" w:themeColor="text1"/>
              </w:rPr>
            </w:pPr>
            <w:r w:rsidRPr="00FE7BA4">
              <w:rPr>
                <w:color w:val="000000" w:themeColor="text1"/>
              </w:rPr>
              <w:lastRenderedPageBreak/>
              <w:t>Section 3.12.1.2 – made with Organic ingredients.</w:t>
            </w:r>
          </w:p>
        </w:tc>
        <w:tc>
          <w:tcPr>
            <w:tcW w:w="8080" w:type="dxa"/>
          </w:tcPr>
          <w:p w14:paraId="09883DE6" w14:textId="77777777" w:rsidR="00AE42E3" w:rsidRPr="00FE7BA4" w:rsidRDefault="00AE42E3" w:rsidP="00893D30">
            <w:pPr>
              <w:rPr>
                <w:color w:val="000000" w:themeColor="text1"/>
              </w:rPr>
            </w:pPr>
            <w:r w:rsidRPr="00FE7BA4">
              <w:rPr>
                <w:color w:val="000000" w:themeColor="text1"/>
              </w:rPr>
              <w:t xml:space="preserve">Is the intent to include organic ingredients 70% or greater but less than 95% since &gt;/= 95% organic ingredients can make an organic claim on the product?   </w:t>
            </w:r>
          </w:p>
          <w:p w14:paraId="4ABB6497" w14:textId="77777777" w:rsidR="00AE42E3" w:rsidRPr="00FE7BA4" w:rsidRDefault="00AE42E3" w:rsidP="00893D30">
            <w:pPr>
              <w:rPr>
                <w:color w:val="000000" w:themeColor="text1"/>
              </w:rPr>
            </w:pPr>
          </w:p>
          <w:p w14:paraId="120ECC00" w14:textId="77777777" w:rsidR="00AE42E3" w:rsidRPr="00FE7BA4" w:rsidRDefault="00AE42E3" w:rsidP="00893D30">
            <w:pPr>
              <w:rPr>
                <w:color w:val="000000" w:themeColor="text1"/>
              </w:rPr>
            </w:pPr>
            <w:r w:rsidRPr="00FE7BA4">
              <w:rPr>
                <w:color w:val="000000" w:themeColor="text1"/>
              </w:rPr>
              <w:t xml:space="preserve">For products containing less than 70% organic ingredients, for clarity is it permissible (and the intent) for organic ingredients to be identified as organic in the ingredients list?  </w:t>
            </w:r>
          </w:p>
          <w:p w14:paraId="5CB4D8FD" w14:textId="77777777" w:rsidR="00AE42E3" w:rsidRPr="00FE7BA4" w:rsidRDefault="00AE42E3" w:rsidP="00893D30">
            <w:pPr>
              <w:rPr>
                <w:color w:val="000000" w:themeColor="text1"/>
              </w:rPr>
            </w:pPr>
          </w:p>
        </w:tc>
      </w:tr>
      <w:tr w:rsidR="00FE7BA4" w:rsidRPr="00FE7BA4" w14:paraId="165F66F0" w14:textId="77777777" w:rsidTr="00893D30">
        <w:tc>
          <w:tcPr>
            <w:tcW w:w="2835" w:type="dxa"/>
          </w:tcPr>
          <w:p w14:paraId="7FED0DC6" w14:textId="77777777" w:rsidR="00AE42E3" w:rsidRPr="00FE7BA4" w:rsidRDefault="00AE42E3" w:rsidP="00893D30">
            <w:pPr>
              <w:rPr>
                <w:color w:val="000000" w:themeColor="text1"/>
              </w:rPr>
            </w:pPr>
            <w:r w:rsidRPr="00FE7BA4">
              <w:rPr>
                <w:color w:val="000000" w:themeColor="text1"/>
              </w:rPr>
              <w:t>Section 8.2 – processing and preservation</w:t>
            </w:r>
          </w:p>
          <w:p w14:paraId="443662BC" w14:textId="77777777" w:rsidR="00AE42E3" w:rsidRPr="00FE7BA4" w:rsidRDefault="00AE42E3" w:rsidP="00893D30">
            <w:pPr>
              <w:rPr>
                <w:color w:val="000000" w:themeColor="text1"/>
              </w:rPr>
            </w:pPr>
          </w:p>
        </w:tc>
        <w:tc>
          <w:tcPr>
            <w:tcW w:w="8080" w:type="dxa"/>
          </w:tcPr>
          <w:p w14:paraId="75769F3C" w14:textId="77777777" w:rsidR="00AE42E3" w:rsidRPr="00FE7BA4" w:rsidRDefault="00AE42E3" w:rsidP="00893D30">
            <w:pPr>
              <w:rPr>
                <w:color w:val="000000" w:themeColor="text1"/>
              </w:rPr>
            </w:pPr>
            <w:r w:rsidRPr="00FE7BA4">
              <w:rPr>
                <w:color w:val="000000" w:themeColor="text1"/>
              </w:rPr>
              <w:t>Noting processing aids used to produce food are food additives.</w:t>
            </w:r>
          </w:p>
          <w:p w14:paraId="62C7B1F0" w14:textId="77777777" w:rsidR="00AE42E3" w:rsidRPr="00FE7BA4" w:rsidRDefault="00AE42E3" w:rsidP="00893D30">
            <w:pPr>
              <w:rPr>
                <w:color w:val="000000" w:themeColor="text1"/>
              </w:rPr>
            </w:pPr>
            <w:r w:rsidRPr="00FE7BA4">
              <w:rPr>
                <w:color w:val="000000" w:themeColor="text1"/>
              </w:rPr>
              <w:t xml:space="preserve">Are there any processes which are expressly </w:t>
            </w:r>
            <w:proofErr w:type="gramStart"/>
            <w:r w:rsidRPr="00FE7BA4">
              <w:rPr>
                <w:color w:val="000000" w:themeColor="text1"/>
              </w:rPr>
              <w:t>prohibited</w:t>
            </w:r>
            <w:proofErr w:type="gramEnd"/>
            <w:r w:rsidRPr="00FE7BA4">
              <w:rPr>
                <w:color w:val="000000" w:themeColor="text1"/>
              </w:rPr>
              <w:t xml:space="preserve"> and should these be mentioned as part of list?</w:t>
            </w:r>
          </w:p>
          <w:p w14:paraId="220228D1" w14:textId="77777777" w:rsidR="00AE42E3" w:rsidRPr="00FE7BA4" w:rsidRDefault="00AE42E3" w:rsidP="00893D30">
            <w:pPr>
              <w:rPr>
                <w:color w:val="000000" w:themeColor="text1"/>
              </w:rPr>
            </w:pPr>
            <w:r w:rsidRPr="00FE7BA4">
              <w:rPr>
                <w:color w:val="000000" w:themeColor="text1"/>
              </w:rPr>
              <w:t xml:space="preserve">Is enzymatic hydrolysis (e.g., production of oat milk) covered under the current list? </w:t>
            </w:r>
          </w:p>
          <w:p w14:paraId="47E4B197" w14:textId="77777777" w:rsidR="00AE42E3" w:rsidRPr="00FE7BA4" w:rsidRDefault="00AE42E3" w:rsidP="00893D30">
            <w:pPr>
              <w:rPr>
                <w:color w:val="000000" w:themeColor="text1"/>
              </w:rPr>
            </w:pPr>
            <w:r w:rsidRPr="00FE7BA4">
              <w:rPr>
                <w:color w:val="000000" w:themeColor="text1"/>
              </w:rPr>
              <w:t xml:space="preserve"> ‘l.’ - gas flushing - question the relevance of including CO2/N2 references under this section given these gases are food additives approved and already mentioned under FSANZ. </w:t>
            </w:r>
          </w:p>
          <w:p w14:paraId="2B7DDBA1" w14:textId="77777777" w:rsidR="00AE42E3" w:rsidRPr="00FE7BA4" w:rsidRDefault="00AE42E3" w:rsidP="00893D30">
            <w:pPr>
              <w:rPr>
                <w:color w:val="000000" w:themeColor="text1"/>
              </w:rPr>
            </w:pPr>
          </w:p>
        </w:tc>
      </w:tr>
      <w:tr w:rsidR="00FE7BA4" w:rsidRPr="00FE7BA4" w14:paraId="05FCC479" w14:textId="77777777" w:rsidTr="00893D30">
        <w:tc>
          <w:tcPr>
            <w:tcW w:w="2835" w:type="dxa"/>
          </w:tcPr>
          <w:p w14:paraId="64FCC88C" w14:textId="77777777" w:rsidR="00AE42E3" w:rsidRPr="00FE7BA4" w:rsidRDefault="00AE42E3" w:rsidP="00893D30">
            <w:pPr>
              <w:rPr>
                <w:color w:val="000000" w:themeColor="text1"/>
              </w:rPr>
            </w:pPr>
            <w:r w:rsidRPr="00FE7BA4">
              <w:rPr>
                <w:color w:val="000000" w:themeColor="text1"/>
              </w:rPr>
              <w:t>Section 8.3.1 – use of organic &amp; non-organic ingredients</w:t>
            </w:r>
          </w:p>
          <w:p w14:paraId="50A68803" w14:textId="77777777" w:rsidR="00AE42E3" w:rsidRPr="00FE7BA4" w:rsidRDefault="00AE42E3" w:rsidP="00893D30">
            <w:pPr>
              <w:rPr>
                <w:color w:val="000000" w:themeColor="text1"/>
              </w:rPr>
            </w:pPr>
          </w:p>
          <w:p w14:paraId="1FBCBD2C" w14:textId="77777777" w:rsidR="00AE42E3" w:rsidRPr="00FE7BA4" w:rsidRDefault="00AE42E3" w:rsidP="00893D30">
            <w:pPr>
              <w:rPr>
                <w:color w:val="000000" w:themeColor="text1"/>
              </w:rPr>
            </w:pPr>
            <w:r w:rsidRPr="00FE7BA4">
              <w:rPr>
                <w:color w:val="000000" w:themeColor="text1"/>
              </w:rPr>
              <w:t>[first green box]</w:t>
            </w:r>
          </w:p>
          <w:p w14:paraId="26B211E9" w14:textId="77777777" w:rsidR="00AE42E3" w:rsidRPr="00FE7BA4" w:rsidRDefault="00AE42E3" w:rsidP="00893D30">
            <w:pPr>
              <w:rPr>
                <w:color w:val="000000" w:themeColor="text1"/>
              </w:rPr>
            </w:pPr>
          </w:p>
        </w:tc>
        <w:tc>
          <w:tcPr>
            <w:tcW w:w="8080" w:type="dxa"/>
          </w:tcPr>
          <w:p w14:paraId="1865D1B7" w14:textId="77777777" w:rsidR="00AE42E3" w:rsidRPr="00FE7BA4" w:rsidRDefault="00AE42E3" w:rsidP="00893D30">
            <w:pPr>
              <w:rPr>
                <w:color w:val="000000" w:themeColor="text1"/>
              </w:rPr>
            </w:pPr>
            <w:r w:rsidRPr="00FE7BA4">
              <w:rPr>
                <w:color w:val="000000" w:themeColor="text1"/>
              </w:rPr>
              <w:t xml:space="preserve">For consistency - would suggest the wording of this section be standardised with the same wording under section 3.12.1.1.  </w:t>
            </w:r>
          </w:p>
          <w:p w14:paraId="152B2A8E" w14:textId="77777777" w:rsidR="00AE42E3" w:rsidRPr="00FE7BA4" w:rsidRDefault="00AE42E3" w:rsidP="00893D30">
            <w:pPr>
              <w:rPr>
                <w:color w:val="000000" w:themeColor="text1"/>
              </w:rPr>
            </w:pPr>
            <w:r w:rsidRPr="00FE7BA4">
              <w:rPr>
                <w:color w:val="000000" w:themeColor="text1"/>
              </w:rPr>
              <w:t>Furthermore, with reference to 3.12.1.1, this section references ‘allowed’ when describing non-agricultural ingredients and non-organic agricultural ingredients.</w:t>
            </w:r>
          </w:p>
          <w:p w14:paraId="340C5198" w14:textId="77777777" w:rsidR="00AE42E3" w:rsidRPr="00FE7BA4" w:rsidRDefault="00AE42E3" w:rsidP="00893D30">
            <w:pPr>
              <w:rPr>
                <w:color w:val="000000" w:themeColor="text1"/>
              </w:rPr>
            </w:pPr>
          </w:p>
          <w:p w14:paraId="57A2FD0C" w14:textId="77777777" w:rsidR="00AE42E3" w:rsidRPr="00FE7BA4" w:rsidRDefault="00AE42E3" w:rsidP="00893D30">
            <w:pPr>
              <w:rPr>
                <w:color w:val="000000" w:themeColor="text1"/>
              </w:rPr>
            </w:pPr>
            <w:r w:rsidRPr="00FE7BA4">
              <w:rPr>
                <w:color w:val="000000" w:themeColor="text1"/>
              </w:rPr>
              <w:t xml:space="preserve"> “The operator must demonstrate that the non-organic agricultural ingredient cannot be sourced as organic in sufficient quality and quantity.” – what information would an operator need to demonstrate this? </w:t>
            </w:r>
            <w:proofErr w:type="gramStart"/>
            <w:r w:rsidRPr="00FE7BA4">
              <w:rPr>
                <w:color w:val="000000" w:themeColor="text1"/>
              </w:rPr>
              <w:t>In reality there</w:t>
            </w:r>
            <w:proofErr w:type="gramEnd"/>
            <w:r w:rsidRPr="00FE7BA4">
              <w:rPr>
                <w:color w:val="000000" w:themeColor="text1"/>
              </w:rPr>
              <w:t xml:space="preserve"> are other considerations which need to be factored into the choice to source non-organic agricultural ingredients such as supply constraints and costs, both of which severely restrict the use of organic versus non-organic ingredients.</w:t>
            </w:r>
          </w:p>
          <w:p w14:paraId="22D2A47B" w14:textId="77777777" w:rsidR="00AE42E3" w:rsidRPr="00FE7BA4" w:rsidRDefault="00AE42E3" w:rsidP="00893D30">
            <w:pPr>
              <w:rPr>
                <w:color w:val="000000" w:themeColor="text1"/>
              </w:rPr>
            </w:pPr>
            <w:r w:rsidRPr="00FE7BA4">
              <w:rPr>
                <w:color w:val="000000" w:themeColor="text1"/>
              </w:rPr>
              <w:t xml:space="preserve"> </w:t>
            </w:r>
          </w:p>
        </w:tc>
      </w:tr>
      <w:tr w:rsidR="00FE7BA4" w:rsidRPr="00FE7BA4" w14:paraId="68E01491" w14:textId="77777777" w:rsidTr="00893D30">
        <w:tc>
          <w:tcPr>
            <w:tcW w:w="2835" w:type="dxa"/>
          </w:tcPr>
          <w:p w14:paraId="4D0A1BDD" w14:textId="77777777" w:rsidR="00AE42E3" w:rsidRPr="00FE7BA4" w:rsidRDefault="00AE42E3" w:rsidP="00893D30">
            <w:pPr>
              <w:rPr>
                <w:color w:val="000000" w:themeColor="text1"/>
              </w:rPr>
            </w:pPr>
            <w:r w:rsidRPr="00FE7BA4">
              <w:rPr>
                <w:color w:val="000000" w:themeColor="text1"/>
              </w:rPr>
              <w:t>Section 8.3.1 – use of organic &amp; non-organic ingredients</w:t>
            </w:r>
          </w:p>
          <w:p w14:paraId="17DBD92F" w14:textId="77777777" w:rsidR="00AE42E3" w:rsidRPr="00FE7BA4" w:rsidRDefault="00AE42E3" w:rsidP="00893D30">
            <w:pPr>
              <w:rPr>
                <w:color w:val="000000" w:themeColor="text1"/>
              </w:rPr>
            </w:pPr>
          </w:p>
          <w:p w14:paraId="6827A921" w14:textId="77777777" w:rsidR="00AE42E3" w:rsidRPr="00FE7BA4" w:rsidRDefault="00AE42E3" w:rsidP="00893D30">
            <w:pPr>
              <w:rPr>
                <w:color w:val="000000" w:themeColor="text1"/>
              </w:rPr>
            </w:pPr>
            <w:r w:rsidRPr="00FE7BA4">
              <w:rPr>
                <w:color w:val="000000" w:themeColor="text1"/>
              </w:rPr>
              <w:t>[second &amp; third green box]</w:t>
            </w:r>
          </w:p>
          <w:p w14:paraId="549034A6" w14:textId="77777777" w:rsidR="00AE42E3" w:rsidRPr="00FE7BA4" w:rsidRDefault="00AE42E3" w:rsidP="00893D30">
            <w:pPr>
              <w:rPr>
                <w:color w:val="000000" w:themeColor="text1"/>
              </w:rPr>
            </w:pPr>
          </w:p>
          <w:p w14:paraId="3B40A018" w14:textId="77777777" w:rsidR="00AE42E3" w:rsidRPr="00FE7BA4" w:rsidRDefault="00AE42E3" w:rsidP="00893D30">
            <w:pPr>
              <w:rPr>
                <w:color w:val="000000" w:themeColor="text1"/>
              </w:rPr>
            </w:pPr>
          </w:p>
        </w:tc>
        <w:tc>
          <w:tcPr>
            <w:tcW w:w="8080" w:type="dxa"/>
          </w:tcPr>
          <w:p w14:paraId="394A7FC0" w14:textId="77777777" w:rsidR="00AE42E3" w:rsidRPr="00FE7BA4" w:rsidRDefault="00AE42E3" w:rsidP="00893D30">
            <w:pPr>
              <w:rPr>
                <w:color w:val="000000" w:themeColor="text1"/>
              </w:rPr>
            </w:pPr>
            <w:r w:rsidRPr="00FE7BA4">
              <w:rPr>
                <w:color w:val="000000" w:themeColor="text1"/>
              </w:rPr>
              <w:t>Reference to ‘more than 70%’ versus ‘70% or greater’ as compared to section 3.12.1.2. Review cut-offs to ensure accuracy and consistency between sections.</w:t>
            </w:r>
          </w:p>
          <w:p w14:paraId="7A13CA14" w14:textId="77777777" w:rsidR="00AE42E3" w:rsidRPr="00FE7BA4" w:rsidRDefault="00AE42E3" w:rsidP="00893D30">
            <w:pPr>
              <w:rPr>
                <w:color w:val="000000" w:themeColor="text1"/>
              </w:rPr>
            </w:pPr>
          </w:p>
          <w:p w14:paraId="643C5F98" w14:textId="77777777" w:rsidR="00AE42E3" w:rsidRPr="00FE7BA4" w:rsidRDefault="00AE42E3" w:rsidP="00893D30">
            <w:pPr>
              <w:rPr>
                <w:color w:val="000000" w:themeColor="text1"/>
              </w:rPr>
            </w:pPr>
            <w:r w:rsidRPr="00FE7BA4">
              <w:rPr>
                <w:color w:val="000000" w:themeColor="text1"/>
              </w:rPr>
              <w:t xml:space="preserve">“The operator must demonstrate that the non-organic agricultural ingredient cannot be sourced as organic in sufficient quality and quantity.” – what information would an operator need to demonstrate this? </w:t>
            </w:r>
            <w:proofErr w:type="gramStart"/>
            <w:r w:rsidRPr="00FE7BA4">
              <w:rPr>
                <w:color w:val="000000" w:themeColor="text1"/>
              </w:rPr>
              <w:t>In reality there</w:t>
            </w:r>
            <w:proofErr w:type="gramEnd"/>
            <w:r w:rsidRPr="00FE7BA4">
              <w:rPr>
                <w:color w:val="000000" w:themeColor="text1"/>
              </w:rPr>
              <w:t xml:space="preserve"> are other considerations which need to be factored into the choice to source non-organic agricultural ingredients such as supply constraints and costs, both of which severely restrict the use of organic versus non-organic ingredients.</w:t>
            </w:r>
          </w:p>
          <w:p w14:paraId="7B2C2DA5" w14:textId="77777777" w:rsidR="00AE42E3" w:rsidRPr="00FE7BA4" w:rsidRDefault="00AE42E3" w:rsidP="00893D30">
            <w:pPr>
              <w:rPr>
                <w:color w:val="000000" w:themeColor="text1"/>
              </w:rPr>
            </w:pPr>
          </w:p>
        </w:tc>
      </w:tr>
      <w:tr w:rsidR="00FE7BA4" w:rsidRPr="00FE7BA4" w14:paraId="2A55D1ED" w14:textId="77777777" w:rsidTr="00893D30">
        <w:tc>
          <w:tcPr>
            <w:tcW w:w="2835" w:type="dxa"/>
          </w:tcPr>
          <w:p w14:paraId="7781E1CE" w14:textId="77777777" w:rsidR="00AE42E3" w:rsidRPr="00FE7BA4" w:rsidRDefault="00AE42E3" w:rsidP="00893D30">
            <w:pPr>
              <w:rPr>
                <w:color w:val="000000" w:themeColor="text1"/>
              </w:rPr>
            </w:pPr>
            <w:r w:rsidRPr="00FE7BA4">
              <w:rPr>
                <w:color w:val="000000" w:themeColor="text1"/>
              </w:rPr>
              <w:t>Section 8.3.1 – use of organic &amp; non-organic ingredients</w:t>
            </w:r>
          </w:p>
          <w:p w14:paraId="4CC08197" w14:textId="77777777" w:rsidR="00AE42E3" w:rsidRPr="00FE7BA4" w:rsidRDefault="00AE42E3" w:rsidP="00893D30">
            <w:pPr>
              <w:rPr>
                <w:color w:val="000000" w:themeColor="text1"/>
              </w:rPr>
            </w:pPr>
          </w:p>
          <w:p w14:paraId="10384B1C" w14:textId="77777777" w:rsidR="00AE42E3" w:rsidRPr="00FE7BA4" w:rsidRDefault="00AE42E3" w:rsidP="00893D30">
            <w:pPr>
              <w:rPr>
                <w:color w:val="000000" w:themeColor="text1"/>
              </w:rPr>
            </w:pPr>
            <w:r w:rsidRPr="00FE7BA4">
              <w:rPr>
                <w:color w:val="000000" w:themeColor="text1"/>
              </w:rPr>
              <w:t>[fourth green box]</w:t>
            </w:r>
          </w:p>
          <w:p w14:paraId="5AA62F10" w14:textId="77777777" w:rsidR="00AE42E3" w:rsidRPr="00FE7BA4" w:rsidRDefault="00AE42E3" w:rsidP="00893D30">
            <w:pPr>
              <w:rPr>
                <w:color w:val="000000" w:themeColor="text1"/>
              </w:rPr>
            </w:pPr>
          </w:p>
        </w:tc>
        <w:tc>
          <w:tcPr>
            <w:tcW w:w="8080" w:type="dxa"/>
          </w:tcPr>
          <w:p w14:paraId="34685400" w14:textId="670A5868" w:rsidR="00AE42E3" w:rsidRPr="00FE7BA4" w:rsidRDefault="00AE42E3" w:rsidP="00893D30">
            <w:pPr>
              <w:rPr>
                <w:color w:val="000000" w:themeColor="text1"/>
              </w:rPr>
            </w:pPr>
            <w:r w:rsidRPr="00FE7BA4">
              <w:rPr>
                <w:color w:val="000000" w:themeColor="text1"/>
              </w:rPr>
              <w:lastRenderedPageBreak/>
              <w:t xml:space="preserve">With the understanding that processing aids are </w:t>
            </w:r>
            <w:r w:rsidR="00656C34">
              <w:rPr>
                <w:color w:val="000000" w:themeColor="text1"/>
              </w:rPr>
              <w:t xml:space="preserve">a mix of </w:t>
            </w:r>
            <w:r w:rsidRPr="00FE7BA4">
              <w:rPr>
                <w:color w:val="000000" w:themeColor="text1"/>
              </w:rPr>
              <w:t>food additives</w:t>
            </w:r>
            <w:r w:rsidR="00656C34">
              <w:rPr>
                <w:color w:val="000000" w:themeColor="text1"/>
              </w:rPr>
              <w:t xml:space="preserve"> and other permissible processing aid under FSANZ regulations, since ‘processing ai</w:t>
            </w:r>
            <w:r w:rsidR="00FA6895">
              <w:rPr>
                <w:color w:val="000000" w:themeColor="text1"/>
              </w:rPr>
              <w:t>d</w:t>
            </w:r>
            <w:r w:rsidR="00656C34">
              <w:rPr>
                <w:color w:val="000000" w:themeColor="text1"/>
              </w:rPr>
              <w:t xml:space="preserve">’ is mentioned specifically below ingredients a-d. Reference to the appropriate standard should be acknowledged. Note supplementary not </w:t>
            </w:r>
            <w:r w:rsidR="00FA6895">
              <w:rPr>
                <w:color w:val="000000" w:themeColor="text1"/>
              </w:rPr>
              <w:t>available</w:t>
            </w:r>
            <w:r w:rsidR="00656C34">
              <w:rPr>
                <w:color w:val="000000" w:themeColor="text1"/>
              </w:rPr>
              <w:t>, as referenced.</w:t>
            </w:r>
          </w:p>
          <w:p w14:paraId="216B6004" w14:textId="77777777" w:rsidR="00AE42E3" w:rsidRPr="00FE7BA4" w:rsidRDefault="00AE42E3" w:rsidP="00893D30">
            <w:pPr>
              <w:rPr>
                <w:color w:val="000000" w:themeColor="text1"/>
              </w:rPr>
            </w:pPr>
          </w:p>
          <w:p w14:paraId="2F4F2F07" w14:textId="6B6DE18C" w:rsidR="00AE42E3" w:rsidRPr="00FE7BA4" w:rsidRDefault="00AE42E3" w:rsidP="00893D30">
            <w:pPr>
              <w:rPr>
                <w:color w:val="000000" w:themeColor="text1"/>
              </w:rPr>
            </w:pPr>
            <w:r w:rsidRPr="00FE7BA4">
              <w:rPr>
                <w:color w:val="000000" w:themeColor="text1"/>
              </w:rPr>
              <w:t xml:space="preserve">Suggest </w:t>
            </w:r>
            <w:r w:rsidR="00FA6895">
              <w:rPr>
                <w:color w:val="000000" w:themeColor="text1"/>
              </w:rPr>
              <w:t>that it</w:t>
            </w:r>
            <w:r w:rsidRPr="00FE7BA4">
              <w:rPr>
                <w:color w:val="000000" w:themeColor="text1"/>
              </w:rPr>
              <w:t xml:space="preserve"> reference the Food Standards Code (under the footnote) as per ‘h.’ under 9.4.1.4.</w:t>
            </w:r>
          </w:p>
          <w:p w14:paraId="0BCBF484" w14:textId="77777777" w:rsidR="00AE42E3" w:rsidRPr="00FE7BA4" w:rsidRDefault="00AE42E3" w:rsidP="00893D30">
            <w:pPr>
              <w:rPr>
                <w:color w:val="000000" w:themeColor="text1"/>
              </w:rPr>
            </w:pPr>
          </w:p>
          <w:p w14:paraId="2A701EAE" w14:textId="77777777" w:rsidR="00AE42E3" w:rsidRPr="00FE7BA4" w:rsidRDefault="00AE42E3" w:rsidP="00893D30">
            <w:pPr>
              <w:rPr>
                <w:color w:val="000000" w:themeColor="text1"/>
              </w:rPr>
            </w:pPr>
            <w:r w:rsidRPr="00FE7BA4">
              <w:rPr>
                <w:color w:val="000000" w:themeColor="text1"/>
              </w:rPr>
              <w:t xml:space="preserve"> </w:t>
            </w:r>
          </w:p>
        </w:tc>
      </w:tr>
      <w:tr w:rsidR="00FE7BA4" w:rsidRPr="00FE7BA4" w14:paraId="750338C6" w14:textId="77777777" w:rsidTr="00893D30">
        <w:tc>
          <w:tcPr>
            <w:tcW w:w="2835" w:type="dxa"/>
          </w:tcPr>
          <w:p w14:paraId="39634D56" w14:textId="77777777" w:rsidR="00AE42E3" w:rsidRPr="00FE7BA4" w:rsidRDefault="00AE42E3" w:rsidP="00893D30">
            <w:pPr>
              <w:rPr>
                <w:color w:val="000000" w:themeColor="text1"/>
              </w:rPr>
            </w:pPr>
            <w:r w:rsidRPr="00FE7BA4">
              <w:rPr>
                <w:color w:val="000000" w:themeColor="text1"/>
              </w:rPr>
              <w:lastRenderedPageBreak/>
              <w:t>Section 8.3.2 Use of additives and processing aids</w:t>
            </w:r>
          </w:p>
          <w:p w14:paraId="319AA6B9" w14:textId="77777777" w:rsidR="00AE42E3" w:rsidRPr="00FE7BA4" w:rsidRDefault="00AE42E3" w:rsidP="00893D30">
            <w:pPr>
              <w:rPr>
                <w:color w:val="000000" w:themeColor="text1"/>
              </w:rPr>
            </w:pPr>
          </w:p>
        </w:tc>
        <w:tc>
          <w:tcPr>
            <w:tcW w:w="8080" w:type="dxa"/>
          </w:tcPr>
          <w:p w14:paraId="14FACFD1" w14:textId="77777777" w:rsidR="00AE42E3" w:rsidRPr="00FE7BA4" w:rsidRDefault="00AE42E3" w:rsidP="00893D30">
            <w:pPr>
              <w:rPr>
                <w:color w:val="000000" w:themeColor="text1"/>
              </w:rPr>
            </w:pPr>
            <w:r w:rsidRPr="00FE7BA4">
              <w:rPr>
                <w:color w:val="000000" w:themeColor="text1"/>
              </w:rPr>
              <w:t>With reference to ‘d.’ should this statement be more explicit in terms of permitted under FSC and allowed under this Standard?</w:t>
            </w:r>
          </w:p>
        </w:tc>
      </w:tr>
      <w:tr w:rsidR="00FE7BA4" w:rsidRPr="00FE7BA4" w14:paraId="63D03A73" w14:textId="77777777" w:rsidTr="00893D30">
        <w:tc>
          <w:tcPr>
            <w:tcW w:w="2835" w:type="dxa"/>
          </w:tcPr>
          <w:p w14:paraId="17A5F872" w14:textId="77777777" w:rsidR="00AE42E3" w:rsidRPr="00FE7BA4" w:rsidRDefault="00AE42E3" w:rsidP="00893D30">
            <w:pPr>
              <w:rPr>
                <w:color w:val="000000" w:themeColor="text1"/>
              </w:rPr>
            </w:pPr>
            <w:r w:rsidRPr="00FE7BA4">
              <w:rPr>
                <w:color w:val="000000" w:themeColor="text1"/>
              </w:rPr>
              <w:t>Section 9.2 Definition of an ‘Input’</w:t>
            </w:r>
          </w:p>
          <w:p w14:paraId="5538F246" w14:textId="77777777" w:rsidR="00AE42E3" w:rsidRPr="00FE7BA4" w:rsidRDefault="00AE42E3" w:rsidP="00893D30">
            <w:pPr>
              <w:rPr>
                <w:color w:val="000000" w:themeColor="text1"/>
              </w:rPr>
            </w:pPr>
          </w:p>
        </w:tc>
        <w:tc>
          <w:tcPr>
            <w:tcW w:w="8080" w:type="dxa"/>
          </w:tcPr>
          <w:p w14:paraId="04B33E80" w14:textId="77777777" w:rsidR="00AE42E3" w:rsidRPr="00FE7BA4" w:rsidRDefault="00AE42E3" w:rsidP="00893D30">
            <w:pPr>
              <w:rPr>
                <w:color w:val="000000" w:themeColor="text1"/>
              </w:rPr>
            </w:pPr>
            <w:r w:rsidRPr="00FE7BA4">
              <w:rPr>
                <w:color w:val="000000" w:themeColor="text1"/>
              </w:rPr>
              <w:t>Reference to substance/product – throughout the consultation document wording is prescriptive in terms of describing ingredients and products however under this section ‘substance’ has been introduced, and product used to describe ingredients (which have been described as such previously). This inconsistency is confusing.</w:t>
            </w:r>
          </w:p>
          <w:p w14:paraId="6B716A85" w14:textId="77777777" w:rsidR="00AE42E3" w:rsidRPr="00FE7BA4" w:rsidRDefault="00AE42E3" w:rsidP="00893D30">
            <w:pPr>
              <w:rPr>
                <w:color w:val="000000" w:themeColor="text1"/>
              </w:rPr>
            </w:pPr>
          </w:p>
          <w:p w14:paraId="79106F18" w14:textId="77777777" w:rsidR="00AE42E3" w:rsidRPr="00FE7BA4" w:rsidRDefault="00AE42E3" w:rsidP="00893D30">
            <w:pPr>
              <w:rPr>
                <w:color w:val="000000" w:themeColor="text1"/>
              </w:rPr>
            </w:pPr>
            <w:r w:rsidRPr="00FE7BA4">
              <w:rPr>
                <w:color w:val="000000" w:themeColor="text1"/>
              </w:rPr>
              <w:t>It would be extremely helpful to provide clarity around the meaning of input, especially given an input is not an ‘ingredient’ including a food additive/processing aid.</w:t>
            </w:r>
          </w:p>
          <w:p w14:paraId="0682D273" w14:textId="77777777" w:rsidR="00AE42E3" w:rsidRPr="00FE7BA4" w:rsidRDefault="00AE42E3" w:rsidP="00893D30">
            <w:pPr>
              <w:rPr>
                <w:color w:val="000000" w:themeColor="text1"/>
              </w:rPr>
            </w:pPr>
          </w:p>
        </w:tc>
      </w:tr>
      <w:tr w:rsidR="00FE7BA4" w:rsidRPr="00FE7BA4" w14:paraId="55BE7210" w14:textId="77777777" w:rsidTr="00893D30">
        <w:tc>
          <w:tcPr>
            <w:tcW w:w="2835" w:type="dxa"/>
          </w:tcPr>
          <w:p w14:paraId="465F4237" w14:textId="77777777" w:rsidR="00AE42E3" w:rsidRPr="00FE7BA4" w:rsidRDefault="00AE42E3" w:rsidP="00893D30">
            <w:pPr>
              <w:rPr>
                <w:color w:val="000000" w:themeColor="text1"/>
              </w:rPr>
            </w:pPr>
            <w:r w:rsidRPr="00FE7BA4">
              <w:rPr>
                <w:color w:val="000000" w:themeColor="text1"/>
              </w:rPr>
              <w:t xml:space="preserve">Section 9.4.1.4 Substances used for the purpose of food additives and processing </w:t>
            </w:r>
            <w:proofErr w:type="gramStart"/>
            <w:r w:rsidRPr="00FE7BA4">
              <w:rPr>
                <w:color w:val="000000" w:themeColor="text1"/>
              </w:rPr>
              <w:t>aids</w:t>
            </w:r>
            <w:proofErr w:type="gramEnd"/>
          </w:p>
          <w:p w14:paraId="4F7C1C29" w14:textId="77777777" w:rsidR="00AE42E3" w:rsidRPr="00FE7BA4" w:rsidRDefault="00AE42E3" w:rsidP="00893D30">
            <w:pPr>
              <w:rPr>
                <w:color w:val="000000" w:themeColor="text1"/>
              </w:rPr>
            </w:pPr>
          </w:p>
        </w:tc>
        <w:tc>
          <w:tcPr>
            <w:tcW w:w="8080" w:type="dxa"/>
          </w:tcPr>
          <w:p w14:paraId="6751251D" w14:textId="77777777" w:rsidR="00AE42E3" w:rsidRPr="00FE7BA4" w:rsidRDefault="00AE42E3" w:rsidP="00893D30">
            <w:pPr>
              <w:rPr>
                <w:color w:val="000000" w:themeColor="text1"/>
              </w:rPr>
            </w:pPr>
            <w:r w:rsidRPr="00FE7BA4">
              <w:rPr>
                <w:color w:val="000000" w:themeColor="text1"/>
              </w:rPr>
              <w:t xml:space="preserve">c. ‘they are found in nature’ – we already know that ‘ingredients of non-agricultural origin’ are permitted so therefore requirements for ‘natural’ under this section are contradictory. </w:t>
            </w:r>
          </w:p>
          <w:p w14:paraId="2F09A9AB" w14:textId="77777777" w:rsidR="00AE42E3" w:rsidRPr="00FE7BA4" w:rsidRDefault="00AE42E3" w:rsidP="00893D30">
            <w:pPr>
              <w:rPr>
                <w:color w:val="000000" w:themeColor="text1"/>
              </w:rPr>
            </w:pPr>
            <w:r w:rsidRPr="00FE7BA4">
              <w:rPr>
                <w:color w:val="000000" w:themeColor="text1"/>
              </w:rPr>
              <w:t xml:space="preserve">h. since the overarching permissions are laid out in this Standard then I would suggest </w:t>
            </w:r>
            <w:proofErr w:type="gramStart"/>
            <w:r w:rsidRPr="00FE7BA4">
              <w:rPr>
                <w:color w:val="000000" w:themeColor="text1"/>
              </w:rPr>
              <w:t>to add</w:t>
            </w:r>
            <w:proofErr w:type="gramEnd"/>
            <w:r w:rsidRPr="00FE7BA4">
              <w:rPr>
                <w:color w:val="000000" w:themeColor="text1"/>
              </w:rPr>
              <w:t xml:space="preserve"> ‘and set out in this Standard’. </w:t>
            </w:r>
          </w:p>
          <w:p w14:paraId="20BEE0B0" w14:textId="77777777" w:rsidR="00AE42E3" w:rsidRPr="00FE7BA4" w:rsidRDefault="00AE42E3" w:rsidP="00893D30">
            <w:pPr>
              <w:rPr>
                <w:color w:val="000000" w:themeColor="text1"/>
              </w:rPr>
            </w:pPr>
          </w:p>
        </w:tc>
      </w:tr>
    </w:tbl>
    <w:p w14:paraId="2C2B5F55" w14:textId="77777777" w:rsidR="00AE42E3" w:rsidRPr="00FE7BA4" w:rsidRDefault="00AE42E3" w:rsidP="00AE42E3">
      <w:pPr>
        <w:ind w:left="-1134"/>
        <w:rPr>
          <w:color w:val="000000" w:themeColor="text1"/>
        </w:rPr>
      </w:pPr>
    </w:p>
    <w:p w14:paraId="16F5039E" w14:textId="77777777" w:rsidR="00AE42E3" w:rsidRPr="00FE7BA4" w:rsidRDefault="00AE42E3" w:rsidP="00AE42E3">
      <w:pPr>
        <w:ind w:left="-1134"/>
        <w:rPr>
          <w:color w:val="000000" w:themeColor="text1"/>
        </w:rPr>
      </w:pPr>
    </w:p>
    <w:p w14:paraId="50987FAB" w14:textId="77777777" w:rsidR="00AE42E3" w:rsidRPr="00FE7BA4" w:rsidRDefault="00AE42E3" w:rsidP="00AE42E3">
      <w:pPr>
        <w:ind w:left="-851"/>
        <w:rPr>
          <w:color w:val="000000" w:themeColor="text1"/>
        </w:rPr>
      </w:pPr>
    </w:p>
    <w:p w14:paraId="60AB6147" w14:textId="77777777" w:rsidR="00AE42E3" w:rsidRPr="00FE7BA4" w:rsidRDefault="00AE42E3" w:rsidP="00E923FB">
      <w:pPr>
        <w:ind w:left="-1134"/>
        <w:rPr>
          <w:color w:val="000000" w:themeColor="text1"/>
        </w:rPr>
      </w:pPr>
    </w:p>
    <w:p w14:paraId="63927C92" w14:textId="7A0DA567" w:rsidR="007C6AEF" w:rsidRPr="00FE7BA4" w:rsidRDefault="007C6AEF" w:rsidP="007C6AEF">
      <w:pPr>
        <w:ind w:left="-1134"/>
        <w:rPr>
          <w:color w:val="000000" w:themeColor="text1"/>
        </w:rPr>
      </w:pPr>
    </w:p>
    <w:p w14:paraId="788F577A" w14:textId="2E1BD54A" w:rsidR="00E747A6" w:rsidRPr="00FE7BA4" w:rsidRDefault="00E747A6" w:rsidP="007C6AEF">
      <w:pPr>
        <w:ind w:left="-1134"/>
        <w:rPr>
          <w:color w:val="000000" w:themeColor="text1"/>
        </w:rPr>
      </w:pPr>
    </w:p>
    <w:p w14:paraId="7CD235FF" w14:textId="3A47A2D8" w:rsidR="00E747A6" w:rsidRPr="00FE7BA4" w:rsidRDefault="00E747A6" w:rsidP="00E747A6">
      <w:pPr>
        <w:ind w:left="-851"/>
        <w:rPr>
          <w:color w:val="000000" w:themeColor="text1"/>
        </w:rPr>
      </w:pPr>
    </w:p>
    <w:sectPr w:rsidR="00E747A6" w:rsidRPr="00FE7BA4">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E9E84" w14:textId="77777777" w:rsidR="000E6DE3" w:rsidRDefault="000E6DE3" w:rsidP="00EE3053">
      <w:pPr>
        <w:spacing w:after="0" w:line="240" w:lineRule="auto"/>
      </w:pPr>
      <w:r>
        <w:separator/>
      </w:r>
    </w:p>
  </w:endnote>
  <w:endnote w:type="continuationSeparator" w:id="0">
    <w:p w14:paraId="0B4545D6" w14:textId="77777777" w:rsidR="000E6DE3" w:rsidRDefault="000E6DE3" w:rsidP="00EE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2CE0" w14:textId="2BCEA985" w:rsidR="00D7442C" w:rsidRDefault="00EA3409">
    <w:pPr>
      <w:pStyle w:val="Footer"/>
    </w:pPr>
    <w:r>
      <w:rPr>
        <w:noProof/>
        <w:lang w:val="en-US"/>
      </w:rPr>
      <mc:AlternateContent>
        <mc:Choice Requires="wps">
          <w:drawing>
            <wp:anchor distT="0" distB="0" distL="0" distR="0" simplePos="0" relativeHeight="251659264" behindDoc="0" locked="0" layoutInCell="1" allowOverlap="1" wp14:anchorId="324A1D59" wp14:editId="6FB498E5">
              <wp:simplePos x="635" y="635"/>
              <wp:positionH relativeFrom="page">
                <wp:align>center</wp:align>
              </wp:positionH>
              <wp:positionV relativeFrom="page">
                <wp:align>bottom</wp:align>
              </wp:positionV>
              <wp:extent cx="443865" cy="443865"/>
              <wp:effectExtent l="0" t="0" r="10795" b="0"/>
              <wp:wrapNone/>
              <wp:docPr id="4" name="Text Box 4"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37425A" w14:textId="24F9429A" w:rsidR="00EA3409" w:rsidRPr="00EA3409" w:rsidRDefault="00EA3409" w:rsidP="00EA3409">
                          <w:pPr>
                            <w:spacing w:after="0"/>
                            <w:rPr>
                              <w:rFonts w:ascii="Calibri" w:eastAsia="Calibri" w:hAnsi="Calibri" w:cs="Calibri"/>
                              <w:noProof/>
                              <w:color w:val="000000"/>
                              <w:sz w:val="20"/>
                              <w:szCs w:val="20"/>
                            </w:rPr>
                          </w:pPr>
                          <w:r w:rsidRPr="00EA3409">
                            <w:rPr>
                              <w:rFonts w:ascii="Calibri" w:eastAsia="Calibri" w:hAnsi="Calibri" w:cs="Calibri"/>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A1D59" id="_x0000_t202" coordsize="21600,21600" o:spt="202" path="m,l,21600r21600,l21600,xe">
              <v:stroke joinstyle="miter"/>
              <v:path gradientshapeok="t" o:connecttype="rect"/>
            </v:shapetype>
            <v:shape id="Text Box 4" o:spid="_x0000_s1026" type="#_x0000_t202" alt="Classified - Confident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A37425A" w14:textId="24F9429A" w:rsidR="00EA3409" w:rsidRPr="00EA3409" w:rsidRDefault="00EA3409" w:rsidP="00EA3409">
                    <w:pPr>
                      <w:spacing w:after="0"/>
                      <w:rPr>
                        <w:rFonts w:ascii="Calibri" w:eastAsia="Calibri" w:hAnsi="Calibri" w:cs="Calibri"/>
                        <w:noProof/>
                        <w:color w:val="000000"/>
                        <w:sz w:val="20"/>
                        <w:szCs w:val="20"/>
                      </w:rPr>
                    </w:pPr>
                    <w:r w:rsidRPr="00EA3409">
                      <w:rPr>
                        <w:rFonts w:ascii="Calibri" w:eastAsia="Calibri" w:hAnsi="Calibri" w:cs="Calibri"/>
                        <w:noProof/>
                        <w:color w:val="000000"/>
                        <w:sz w:val="20"/>
                        <w:szCs w:val="20"/>
                      </w:rPr>
                      <w:t>Classified -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C868" w14:textId="7CF38387" w:rsidR="00994E8A" w:rsidRPr="007F3F93" w:rsidRDefault="00EA3409" w:rsidP="007F3F93">
    <w:pPr>
      <w:pStyle w:val="Footer"/>
    </w:pPr>
    <w:r>
      <w:rPr>
        <w:noProof/>
        <w:lang w:val="en-US"/>
      </w:rPr>
      <mc:AlternateContent>
        <mc:Choice Requires="wps">
          <w:drawing>
            <wp:anchor distT="0" distB="0" distL="0" distR="0" simplePos="0" relativeHeight="251660288" behindDoc="0" locked="0" layoutInCell="1" allowOverlap="1" wp14:anchorId="13A22EF7" wp14:editId="12E22C8D">
              <wp:simplePos x="635" y="635"/>
              <wp:positionH relativeFrom="page">
                <wp:align>center</wp:align>
              </wp:positionH>
              <wp:positionV relativeFrom="page">
                <wp:align>bottom</wp:align>
              </wp:positionV>
              <wp:extent cx="443865" cy="443865"/>
              <wp:effectExtent l="0" t="0" r="10795" b="0"/>
              <wp:wrapNone/>
              <wp:docPr id="5" name="Text Box 5"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D674E" w14:textId="3591061C" w:rsidR="00EA3409" w:rsidRPr="00EA3409" w:rsidRDefault="00EA3409" w:rsidP="00EA3409">
                          <w:pPr>
                            <w:spacing w:after="0"/>
                            <w:rPr>
                              <w:rFonts w:ascii="Calibri" w:eastAsia="Calibri" w:hAnsi="Calibri" w:cs="Calibri"/>
                              <w:noProof/>
                              <w:color w:val="000000"/>
                              <w:sz w:val="20"/>
                              <w:szCs w:val="20"/>
                            </w:rPr>
                          </w:pPr>
                          <w:r w:rsidRPr="00EA3409">
                            <w:rPr>
                              <w:rFonts w:ascii="Calibri" w:eastAsia="Calibri" w:hAnsi="Calibri" w:cs="Calibri"/>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22EF7" id="_x0000_t202" coordsize="21600,21600" o:spt="202" path="m,l,21600r21600,l21600,xe">
              <v:stroke joinstyle="miter"/>
              <v:path gradientshapeok="t" o:connecttype="rect"/>
            </v:shapetype>
            <v:shape id="Text Box 5" o:spid="_x0000_s1027" type="#_x0000_t202" alt="Classified - Confident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49D674E" w14:textId="3591061C" w:rsidR="00EA3409" w:rsidRPr="00EA3409" w:rsidRDefault="00EA3409" w:rsidP="00EA3409">
                    <w:pPr>
                      <w:spacing w:after="0"/>
                      <w:rPr>
                        <w:rFonts w:ascii="Calibri" w:eastAsia="Calibri" w:hAnsi="Calibri" w:cs="Calibri"/>
                        <w:noProof/>
                        <w:color w:val="000000"/>
                        <w:sz w:val="20"/>
                        <w:szCs w:val="20"/>
                      </w:rPr>
                    </w:pPr>
                    <w:r w:rsidRPr="00EA3409">
                      <w:rPr>
                        <w:rFonts w:ascii="Calibri" w:eastAsia="Calibri" w:hAnsi="Calibri" w:cs="Calibri"/>
                        <w:noProof/>
                        <w:color w:val="000000"/>
                        <w:sz w:val="20"/>
                        <w:szCs w:val="20"/>
                      </w:rPr>
                      <w:t>Classified - Confidential</w:t>
                    </w:r>
                  </w:p>
                </w:txbxContent>
              </v:textbox>
              <w10:wrap anchorx="page" anchory="page"/>
            </v:shape>
          </w:pict>
        </mc:Fallback>
      </mc:AlternateContent>
    </w:r>
    <w:r w:rsidR="00B23B5D">
      <w:t>12</w:t>
    </w:r>
    <w:r w:rsidR="007F3F93">
      <w:t xml:space="preserve"> May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503B" w14:textId="7014196D" w:rsidR="00D7442C" w:rsidRDefault="00EA3409">
    <w:pPr>
      <w:pStyle w:val="Footer"/>
    </w:pPr>
    <w:r>
      <w:rPr>
        <w:noProof/>
        <w:lang w:val="en-US"/>
      </w:rPr>
      <mc:AlternateContent>
        <mc:Choice Requires="wps">
          <w:drawing>
            <wp:anchor distT="0" distB="0" distL="0" distR="0" simplePos="0" relativeHeight="251658240" behindDoc="0" locked="0" layoutInCell="1" allowOverlap="1" wp14:anchorId="4E20701F" wp14:editId="0B9AB420">
              <wp:simplePos x="635" y="635"/>
              <wp:positionH relativeFrom="page">
                <wp:align>center</wp:align>
              </wp:positionH>
              <wp:positionV relativeFrom="page">
                <wp:align>bottom</wp:align>
              </wp:positionV>
              <wp:extent cx="443865" cy="443865"/>
              <wp:effectExtent l="0" t="0" r="10795" b="0"/>
              <wp:wrapNone/>
              <wp:docPr id="3" name="Text Box 3" descr="Classified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A1DECF" w14:textId="19ED8BC9" w:rsidR="00EA3409" w:rsidRPr="00EA3409" w:rsidRDefault="00EA3409" w:rsidP="00EA3409">
                          <w:pPr>
                            <w:spacing w:after="0"/>
                            <w:rPr>
                              <w:rFonts w:ascii="Calibri" w:eastAsia="Calibri" w:hAnsi="Calibri" w:cs="Calibri"/>
                              <w:noProof/>
                              <w:color w:val="000000"/>
                              <w:sz w:val="20"/>
                              <w:szCs w:val="20"/>
                            </w:rPr>
                          </w:pPr>
                          <w:r w:rsidRPr="00EA3409">
                            <w:rPr>
                              <w:rFonts w:ascii="Calibri" w:eastAsia="Calibri" w:hAnsi="Calibri" w:cs="Calibri"/>
                              <w:noProof/>
                              <w:color w:val="000000"/>
                              <w:sz w:val="20"/>
                              <w:szCs w:val="20"/>
                            </w:rPr>
                            <w:t>Classified -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0701F" id="_x0000_t202" coordsize="21600,21600" o:spt="202" path="m,l,21600r21600,l21600,xe">
              <v:stroke joinstyle="miter"/>
              <v:path gradientshapeok="t" o:connecttype="rect"/>
            </v:shapetype>
            <v:shape id="Text Box 3" o:spid="_x0000_s1028" type="#_x0000_t202" alt="Classified - Confident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1A1DECF" w14:textId="19ED8BC9" w:rsidR="00EA3409" w:rsidRPr="00EA3409" w:rsidRDefault="00EA3409" w:rsidP="00EA3409">
                    <w:pPr>
                      <w:spacing w:after="0"/>
                      <w:rPr>
                        <w:rFonts w:ascii="Calibri" w:eastAsia="Calibri" w:hAnsi="Calibri" w:cs="Calibri"/>
                        <w:noProof/>
                        <w:color w:val="000000"/>
                        <w:sz w:val="20"/>
                        <w:szCs w:val="20"/>
                      </w:rPr>
                    </w:pPr>
                    <w:r w:rsidRPr="00EA3409">
                      <w:rPr>
                        <w:rFonts w:ascii="Calibri" w:eastAsia="Calibri" w:hAnsi="Calibri" w:cs="Calibri"/>
                        <w:noProof/>
                        <w:color w:val="000000"/>
                        <w:sz w:val="20"/>
                        <w:szCs w:val="20"/>
                      </w:rPr>
                      <w:t>Classified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7BD9D" w14:textId="77777777" w:rsidR="000E6DE3" w:rsidRDefault="000E6DE3" w:rsidP="00EE3053">
      <w:pPr>
        <w:spacing w:after="0" w:line="240" w:lineRule="auto"/>
      </w:pPr>
      <w:r>
        <w:separator/>
      </w:r>
    </w:p>
  </w:footnote>
  <w:footnote w:type="continuationSeparator" w:id="0">
    <w:p w14:paraId="656B3A57" w14:textId="77777777" w:rsidR="000E6DE3" w:rsidRDefault="000E6DE3" w:rsidP="00EE3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F5E3" w14:textId="77777777" w:rsidR="00303C76" w:rsidRDefault="00303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FE2B" w14:textId="53ECB0C7" w:rsidR="00843BD8" w:rsidRDefault="007C6AEF" w:rsidP="00843BD8">
    <w:pPr>
      <w:pStyle w:val="Header"/>
      <w:ind w:hanging="1134"/>
    </w:pPr>
    <w:r w:rsidRPr="007C6AEF">
      <w:rPr>
        <w:noProof/>
        <w:lang w:val="en-US"/>
      </w:rPr>
      <w:drawing>
        <wp:inline distT="0" distB="0" distL="0" distR="0" wp14:anchorId="3424B74D" wp14:editId="677DE788">
          <wp:extent cx="1510247" cy="889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30134" cy="900706"/>
                  </a:xfrm>
                  <a:prstGeom prst="rect">
                    <a:avLst/>
                  </a:prstGeom>
                </pic:spPr>
              </pic:pic>
            </a:graphicData>
          </a:graphic>
        </wp:inline>
      </w:drawing>
    </w:r>
  </w:p>
  <w:p w14:paraId="4B0C4AB3" w14:textId="77777777" w:rsidR="00A63F22" w:rsidRDefault="00A63F22" w:rsidP="007C6AEF">
    <w:pPr>
      <w:pStyle w:val="Header"/>
      <w:ind w:hanging="11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A32E" w14:textId="77777777" w:rsidR="00303C76" w:rsidRDefault="00303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2099A"/>
    <w:multiLevelType w:val="hybridMultilevel"/>
    <w:tmpl w:val="B52E29DC"/>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373385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053"/>
    <w:rsid w:val="00012EA5"/>
    <w:rsid w:val="0001468B"/>
    <w:rsid w:val="0003138E"/>
    <w:rsid w:val="00072ECE"/>
    <w:rsid w:val="00074EBA"/>
    <w:rsid w:val="00075F60"/>
    <w:rsid w:val="00085B83"/>
    <w:rsid w:val="000D2902"/>
    <w:rsid w:val="000E6DE3"/>
    <w:rsid w:val="00107F82"/>
    <w:rsid w:val="00113924"/>
    <w:rsid w:val="00114B02"/>
    <w:rsid w:val="00126C6C"/>
    <w:rsid w:val="00133BBE"/>
    <w:rsid w:val="00144F14"/>
    <w:rsid w:val="0015713E"/>
    <w:rsid w:val="0015780E"/>
    <w:rsid w:val="0016023E"/>
    <w:rsid w:val="00164EAA"/>
    <w:rsid w:val="00173830"/>
    <w:rsid w:val="00177F2C"/>
    <w:rsid w:val="001928E7"/>
    <w:rsid w:val="00197C89"/>
    <w:rsid w:val="001A1E28"/>
    <w:rsid w:val="001B7461"/>
    <w:rsid w:val="001C5769"/>
    <w:rsid w:val="001C61CB"/>
    <w:rsid w:val="00224651"/>
    <w:rsid w:val="002249AB"/>
    <w:rsid w:val="00250444"/>
    <w:rsid w:val="00253887"/>
    <w:rsid w:val="00270A0B"/>
    <w:rsid w:val="002758DB"/>
    <w:rsid w:val="00280D39"/>
    <w:rsid w:val="00281EB6"/>
    <w:rsid w:val="00283A83"/>
    <w:rsid w:val="0029193B"/>
    <w:rsid w:val="002A28F7"/>
    <w:rsid w:val="002A564C"/>
    <w:rsid w:val="002C1C1A"/>
    <w:rsid w:val="002C2E30"/>
    <w:rsid w:val="002C56A6"/>
    <w:rsid w:val="002C68D8"/>
    <w:rsid w:val="00303C76"/>
    <w:rsid w:val="00326BF9"/>
    <w:rsid w:val="0033395D"/>
    <w:rsid w:val="0033451F"/>
    <w:rsid w:val="00353FF6"/>
    <w:rsid w:val="003B51F0"/>
    <w:rsid w:val="003D16D0"/>
    <w:rsid w:val="003D4569"/>
    <w:rsid w:val="003D7EC4"/>
    <w:rsid w:val="003F1407"/>
    <w:rsid w:val="003F53C5"/>
    <w:rsid w:val="003F7EBF"/>
    <w:rsid w:val="004119AE"/>
    <w:rsid w:val="004146CA"/>
    <w:rsid w:val="00430FD7"/>
    <w:rsid w:val="0047096D"/>
    <w:rsid w:val="00471AD9"/>
    <w:rsid w:val="0047304F"/>
    <w:rsid w:val="0047698B"/>
    <w:rsid w:val="004B5776"/>
    <w:rsid w:val="004D36F0"/>
    <w:rsid w:val="004D446C"/>
    <w:rsid w:val="004E494D"/>
    <w:rsid w:val="004E4FDB"/>
    <w:rsid w:val="004E57EB"/>
    <w:rsid w:val="00507069"/>
    <w:rsid w:val="005105C7"/>
    <w:rsid w:val="00512275"/>
    <w:rsid w:val="005164A4"/>
    <w:rsid w:val="00517614"/>
    <w:rsid w:val="00526CD3"/>
    <w:rsid w:val="0053401E"/>
    <w:rsid w:val="0056108E"/>
    <w:rsid w:val="005700DE"/>
    <w:rsid w:val="00580F66"/>
    <w:rsid w:val="0058276A"/>
    <w:rsid w:val="005970C7"/>
    <w:rsid w:val="005A693E"/>
    <w:rsid w:val="005B23C4"/>
    <w:rsid w:val="005D4CB1"/>
    <w:rsid w:val="005E1687"/>
    <w:rsid w:val="005E38CD"/>
    <w:rsid w:val="005E4B75"/>
    <w:rsid w:val="00622FF4"/>
    <w:rsid w:val="0064709B"/>
    <w:rsid w:val="00650732"/>
    <w:rsid w:val="00654D04"/>
    <w:rsid w:val="00656C34"/>
    <w:rsid w:val="006838A1"/>
    <w:rsid w:val="006954A5"/>
    <w:rsid w:val="006978D3"/>
    <w:rsid w:val="006A5BCF"/>
    <w:rsid w:val="006A6E11"/>
    <w:rsid w:val="006A7EE2"/>
    <w:rsid w:val="006B045D"/>
    <w:rsid w:val="006C6DFA"/>
    <w:rsid w:val="006E6394"/>
    <w:rsid w:val="006F03B0"/>
    <w:rsid w:val="00700443"/>
    <w:rsid w:val="00700CF0"/>
    <w:rsid w:val="00701DCF"/>
    <w:rsid w:val="00711B48"/>
    <w:rsid w:val="00724543"/>
    <w:rsid w:val="00732F75"/>
    <w:rsid w:val="00742292"/>
    <w:rsid w:val="00774401"/>
    <w:rsid w:val="007B1BF1"/>
    <w:rsid w:val="007C1BB2"/>
    <w:rsid w:val="007C54DF"/>
    <w:rsid w:val="007C5E74"/>
    <w:rsid w:val="007C6AEF"/>
    <w:rsid w:val="007D21C1"/>
    <w:rsid w:val="007D268B"/>
    <w:rsid w:val="007E6F9C"/>
    <w:rsid w:val="007F3F93"/>
    <w:rsid w:val="00843BD8"/>
    <w:rsid w:val="00847CC0"/>
    <w:rsid w:val="00887C05"/>
    <w:rsid w:val="00890937"/>
    <w:rsid w:val="008A00F4"/>
    <w:rsid w:val="008D051B"/>
    <w:rsid w:val="008D2C15"/>
    <w:rsid w:val="008E641D"/>
    <w:rsid w:val="008F46A7"/>
    <w:rsid w:val="009009F1"/>
    <w:rsid w:val="0090343F"/>
    <w:rsid w:val="00905087"/>
    <w:rsid w:val="00931DF4"/>
    <w:rsid w:val="009546C4"/>
    <w:rsid w:val="00956E91"/>
    <w:rsid w:val="0096421A"/>
    <w:rsid w:val="009659E8"/>
    <w:rsid w:val="00994E8A"/>
    <w:rsid w:val="00995EC1"/>
    <w:rsid w:val="009B4513"/>
    <w:rsid w:val="009B6733"/>
    <w:rsid w:val="00A0192B"/>
    <w:rsid w:val="00A02C98"/>
    <w:rsid w:val="00A035AA"/>
    <w:rsid w:val="00A1361E"/>
    <w:rsid w:val="00A261F8"/>
    <w:rsid w:val="00A27157"/>
    <w:rsid w:val="00A614A2"/>
    <w:rsid w:val="00A63F22"/>
    <w:rsid w:val="00A77BD5"/>
    <w:rsid w:val="00AA3481"/>
    <w:rsid w:val="00AD4A77"/>
    <w:rsid w:val="00AE42E3"/>
    <w:rsid w:val="00B03E5C"/>
    <w:rsid w:val="00B23B5D"/>
    <w:rsid w:val="00B249D6"/>
    <w:rsid w:val="00B30D07"/>
    <w:rsid w:val="00B474DC"/>
    <w:rsid w:val="00B50AA6"/>
    <w:rsid w:val="00B64FBC"/>
    <w:rsid w:val="00B80269"/>
    <w:rsid w:val="00BC2DF5"/>
    <w:rsid w:val="00BD6AD5"/>
    <w:rsid w:val="00BF7816"/>
    <w:rsid w:val="00C026F7"/>
    <w:rsid w:val="00C07F23"/>
    <w:rsid w:val="00C32880"/>
    <w:rsid w:val="00C409B6"/>
    <w:rsid w:val="00C4351B"/>
    <w:rsid w:val="00C45183"/>
    <w:rsid w:val="00C54095"/>
    <w:rsid w:val="00C60B06"/>
    <w:rsid w:val="00C9223F"/>
    <w:rsid w:val="00C94454"/>
    <w:rsid w:val="00CD1C4C"/>
    <w:rsid w:val="00CD1E53"/>
    <w:rsid w:val="00CE1D3C"/>
    <w:rsid w:val="00CE64A9"/>
    <w:rsid w:val="00CF7037"/>
    <w:rsid w:val="00D05C8F"/>
    <w:rsid w:val="00D21834"/>
    <w:rsid w:val="00D3544C"/>
    <w:rsid w:val="00D3630A"/>
    <w:rsid w:val="00D435A8"/>
    <w:rsid w:val="00D45862"/>
    <w:rsid w:val="00D467DC"/>
    <w:rsid w:val="00D473BE"/>
    <w:rsid w:val="00D50A34"/>
    <w:rsid w:val="00D51861"/>
    <w:rsid w:val="00D666B5"/>
    <w:rsid w:val="00D7442C"/>
    <w:rsid w:val="00DA41D9"/>
    <w:rsid w:val="00DA47A1"/>
    <w:rsid w:val="00DB4FBB"/>
    <w:rsid w:val="00DC497C"/>
    <w:rsid w:val="00DE2919"/>
    <w:rsid w:val="00E078E0"/>
    <w:rsid w:val="00E3001D"/>
    <w:rsid w:val="00E302D1"/>
    <w:rsid w:val="00E32166"/>
    <w:rsid w:val="00E41E4D"/>
    <w:rsid w:val="00E5693A"/>
    <w:rsid w:val="00E64D7B"/>
    <w:rsid w:val="00E70CF7"/>
    <w:rsid w:val="00E747A6"/>
    <w:rsid w:val="00E923FB"/>
    <w:rsid w:val="00E92456"/>
    <w:rsid w:val="00EA123D"/>
    <w:rsid w:val="00EA3409"/>
    <w:rsid w:val="00EA3691"/>
    <w:rsid w:val="00EA65C6"/>
    <w:rsid w:val="00EB3C59"/>
    <w:rsid w:val="00EC7E99"/>
    <w:rsid w:val="00EE3053"/>
    <w:rsid w:val="00EE4042"/>
    <w:rsid w:val="00EE7AE3"/>
    <w:rsid w:val="00EF3549"/>
    <w:rsid w:val="00EF7C67"/>
    <w:rsid w:val="00F378EB"/>
    <w:rsid w:val="00F82021"/>
    <w:rsid w:val="00F86A70"/>
    <w:rsid w:val="00FA3246"/>
    <w:rsid w:val="00FA6895"/>
    <w:rsid w:val="00FB578A"/>
    <w:rsid w:val="00FC3097"/>
    <w:rsid w:val="00FE7B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AA6BE"/>
  <w15:chartTrackingRefBased/>
  <w15:docId w15:val="{5D9BADD1-067B-4B89-8FF8-5F99F9E4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3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053"/>
  </w:style>
  <w:style w:type="paragraph" w:styleId="Header">
    <w:name w:val="header"/>
    <w:basedOn w:val="Normal"/>
    <w:link w:val="HeaderChar"/>
    <w:uiPriority w:val="99"/>
    <w:unhideWhenUsed/>
    <w:rsid w:val="007C6A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AEF"/>
  </w:style>
  <w:style w:type="table" w:styleId="TableGrid">
    <w:name w:val="Table Grid"/>
    <w:basedOn w:val="TableNormal"/>
    <w:uiPriority w:val="39"/>
    <w:rsid w:val="007C6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1BB2"/>
    <w:rPr>
      <w:color w:val="0563C1" w:themeColor="hyperlink"/>
      <w:u w:val="single"/>
    </w:rPr>
  </w:style>
  <w:style w:type="character" w:customStyle="1" w:styleId="UnresolvedMention1">
    <w:name w:val="Unresolved Mention1"/>
    <w:basedOn w:val="DefaultParagraphFont"/>
    <w:uiPriority w:val="99"/>
    <w:semiHidden/>
    <w:unhideWhenUsed/>
    <w:rsid w:val="007C1BB2"/>
    <w:rPr>
      <w:color w:val="605E5C"/>
      <w:shd w:val="clear" w:color="auto" w:fill="E1DFDD"/>
    </w:rPr>
  </w:style>
  <w:style w:type="paragraph" w:styleId="ListParagraph">
    <w:name w:val="List Paragraph"/>
    <w:basedOn w:val="Normal"/>
    <w:uiPriority w:val="34"/>
    <w:qFormat/>
    <w:rsid w:val="0047096D"/>
    <w:pPr>
      <w:ind w:left="720"/>
      <w:contextualSpacing/>
    </w:pPr>
  </w:style>
  <w:style w:type="paragraph" w:customStyle="1" w:styleId="xmsonormal">
    <w:name w:val="x_msonormal"/>
    <w:basedOn w:val="Normal"/>
    <w:rsid w:val="00C54095"/>
    <w:pPr>
      <w:spacing w:after="0" w:line="240" w:lineRule="auto"/>
    </w:pPr>
    <w:rPr>
      <w:rFonts w:ascii="Calibri" w:hAnsi="Calibri" w:cs="Calibri"/>
      <w:lang w:val="en-US"/>
    </w:rPr>
  </w:style>
  <w:style w:type="character" w:styleId="FollowedHyperlink">
    <w:name w:val="FollowedHyperlink"/>
    <w:basedOn w:val="DefaultParagraphFont"/>
    <w:uiPriority w:val="99"/>
    <w:semiHidden/>
    <w:unhideWhenUsed/>
    <w:rsid w:val="009642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Metadata/LabelInfo.xml><?xml version="1.0" encoding="utf-8"?>
<clbl:labelList xmlns:clbl="http://schemas.microsoft.com/office/2020/mipLabelMetadata">
  <clbl:label id="{0702bf62-88e6-456d-b298-e2abb13de1ea}" enabled="1" method="Standard" siteId="{548d26ab-8caa-49e1-97c2-a1b1a06cc39c}" removed="0"/>
</clbl:labelList>
</file>

<file path=docProps/app.xml><?xml version="1.0" encoding="utf-8"?>
<Properties xmlns="http://schemas.openxmlformats.org/officeDocument/2006/extended-properties" xmlns:vt="http://schemas.openxmlformats.org/officeDocument/2006/docPropsVTypes">
  <Template>Normal</Template>
  <TotalTime>10</TotalTime>
  <Pages>3</Pages>
  <Words>1017</Words>
  <Characters>5798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Maree Winther</dc:creator>
  <cp:keywords/>
  <dc:description/>
  <cp:lastModifiedBy>Belinda Milnes</cp:lastModifiedBy>
  <cp:revision>3</cp:revision>
  <dcterms:created xsi:type="dcterms:W3CDTF">2023-06-19T02:27:00Z</dcterms:created>
  <dcterms:modified xsi:type="dcterms:W3CDTF">2023-06-19T02:42:00Z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3,4,5</vt:lpwstr>
  </property>
  <property fmtid="{D5CDD505-2E9C-101B-9397-08002B2CF9AE}" pid="3" name="ClassificationContentMarkingFooterFontProps">
    <vt:lpwstr>#000000,10,Calibri</vt:lpwstr>
  </property>
  <property fmtid="{D5CDD505-2E9C-101B-9397-08002B2CF9AE}" pid="4" name="ClassificationContentMarkingFooterText">
    <vt:lpwstr>Classified - Confidential</vt:lpwstr>
  </property>
</Properties>
</file>